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20"/>
      </w:pPr>
      <w:r>
        <w:rPr>
          <w:rFonts w:ascii="Arial" w:cs="Arial" w:eastAsia="Arial" w:hAnsi="Arial"/>
          <w:b/>
          <w:bCs/>
          <w:color w:val="474B36"/>
          <w:sz w:val="15"/>
          <w:szCs w:val="15"/>
        </w:rPr>
        <w:t xml:space="preserve">SERLOCK TRAVEL · CLINICIAN SAMPLE</w:t>
      </w:r>
    </w:p>
    <w:p>
      <w:pPr>
        <w:spacing w:after="160"/>
      </w:pPr>
      <w:r>
        <w:rPr>
          <w:rFonts w:ascii="Georgia" w:cs="Georgia" w:eastAsia="Georgia" w:hAnsi="Georgia"/>
          <w:b/>
          <w:bCs/>
          <w:color w:val="23261C"/>
          <w:sz w:val="54"/>
          <w:szCs w:val="54"/>
        </w:rPr>
        <w:t xml:space="preserve">Readiness Plan —</w:t>
      </w:r>
      <w:r>
        <w:rPr>
          <w:rFonts w:ascii="Georgia" w:cs="Georgia" w:eastAsia="Georgia" w:hAnsi="Georgia"/>
          <w:b/>
          <w:bCs/>
          <w:color w:val="23261C"/>
          <w:sz w:val="54"/>
          <w:szCs w:val="54"/>
        </w:rPr>
        <w:br/>
        <w:t xml:space="preserve">
Uganda</w:t>
      </w:r>
    </w:p>
    <w:p>
      <w:pPr>
        <w:pBdr>
          <w:bottom w:val="single" w:color="FF6A1F" w:sz="18" w:space="8"/>
        </w:pBdr>
        <w:spacing w:after="220"/>
      </w:pPr>
    </w:p>
    <w:p>
      <w:pPr>
        <w:spacing w:after="360"/>
      </w:pPr>
      <w:r>
        <w:rPr>
          <w:rFonts w:ascii="Arial" w:cs="Arial" w:eastAsia="Arial" w:hAnsi="Arial"/>
          <w:b/>
          <w:bCs/>
          <w:color w:val="474B36"/>
          <w:sz w:val="16"/>
          <w:szCs w:val="16"/>
        </w:rPr>
        <w:t xml:space="preserve">TRAVEL PREPARED. TRAVEL FURTHER.</w:t>
      </w:r>
    </w:p>
    <w:p>
      <w:pPr>
        <w:spacing w:after="260"/>
        <w:jc w:val="center"/>
      </w:pPr>
      <w:r>
        <w:drawing>
          <wp:inline distT="0" distB="0" distL="0" distR="0">
            <wp:extent cx="5334000" cy="3333750"/>
            <wp:effectExtent t="0" r="0" b="0" l="0"/>
            <wp:docPr id="1" name="Uganda cover" descr="Sample clinician travel visual" title="Uganda travel cov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shd w:fill="F3F0E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SAFETY</w:t>
            </w:r>
          </w:p>
        </w:tc>
        <w:tc>
          <w:tcPr>
            <w:tcW w:type="dxa" w:w="234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shd w:fill="F3F0E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HEALTH</w:t>
            </w:r>
          </w:p>
        </w:tc>
        <w:tc>
          <w:tcPr>
            <w:tcW w:type="dxa" w:w="234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shd w:fill="F3F0E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SUPPORT</w:t>
            </w:r>
          </w:p>
        </w:tc>
        <w:tc>
          <w:tcPr>
            <w:tcW w:type="dxa" w:w="234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shd w:fill="F3F0E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PEACE OF MIND</w:t>
            </w:r>
          </w:p>
        </w:tc>
      </w:tr>
    </w:tbl>
    <w:p>
      <w:pPr>
        <w:spacing w:before="220"/>
        <w:jc w:val="center"/>
      </w:pPr>
      <w:r>
        <w:rPr>
          <w:rFonts w:ascii="Arial" w:cs="Arial" w:eastAsia="Arial" w:hAnsi="Arial"/>
          <w:b/>
          <w:bCs/>
          <w:color w:val="FF6A1F"/>
          <w:sz w:val="14"/>
          <w:szCs w:val="14"/>
        </w:rPr>
        <w:t xml:space="preserve">FICTIONAL SAMPLE · VERIFY ALL DETAILS BEFORE TRAVEL</w:t>
      </w:r>
    </w:p>
    <w:p>
      <w:pPr>
        <w:sectPr>
          <w:pgSz w:w="12240" w:h="15840" w:orient="portrait"/>
          <w:pgMar w:top="900" w:right="1440" w:bottom="900" w:left="1440" w:header="708" w:footer="708" w:gutter="0"/>
          <w:pgNumType/>
          <w:docGrid w:linePitch="360"/>
        </w:sectPr>
      </w:pP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Emergency Contacts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200"/>
        <w:gridCol w:w="4660"/>
      </w:tblGrid>
      <w:tr>
        <w:tc>
          <w:tcPr>
            <w:tcW w:type="dxa" w:w="25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shd w:fill="F3F0E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Service</w:t>
            </w:r>
          </w:p>
        </w:tc>
        <w:tc>
          <w:tcPr>
            <w:tcW w:type="dxa" w:w="22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shd w:fill="F3F0E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Phone Number</w:t>
            </w:r>
          </w:p>
        </w:tc>
        <w:tc>
          <w:tcPr>
            <w:tcW w:type="dxa" w:w="46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shd w:fill="F3F0E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Notes</w:t>
            </w:r>
          </w:p>
        </w:tc>
      </w:tr>
      <w:tr>
        <w:tc>
          <w:tcPr>
            <w:tcW w:type="dxa" w:w="25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Uganda national emergency services</w:t>
            </w:r>
          </w:p>
        </w:tc>
        <w:tc>
          <w:tcPr>
            <w:tcW w:type="dxa" w:w="22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999 or 112</w:t>
            </w:r>
          </w:p>
        </w:tc>
        <w:tc>
          <w:tcPr>
            <w:tcW w:type="dxa" w:w="46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Request police, fire or medical assistance and give a landmark plus location pin. Dispatch and ambulance availability vary; test the NGO's alternative pathway without placing a test emergency call (verify before travel).</w:t>
            </w:r>
          </w:p>
        </w:tc>
      </w:tr>
      <w:tr>
        <w:tc>
          <w:tcPr>
            <w:tcW w:type="dxa" w:w="25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Police and local security escalation</w:t>
            </w:r>
          </w:p>
        </w:tc>
        <w:tc>
          <w:tcPr>
            <w:tcW w:type="dxa" w:w="22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999 or 112; obtain the hotel and district police duty numbers</w:t>
            </w:r>
          </w:p>
        </w:tc>
        <w:tc>
          <w:tcPr>
            <w:tcW w:type="dxa" w:w="46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Ask the hotel and NGO to identify the relevant Kampala and Mbarara-area stations and save direct numbers (verify before travel).</w:t>
            </w:r>
          </w:p>
        </w:tc>
      </w:tr>
      <w:tr>
        <w:tc>
          <w:tcPr>
            <w:tcW w:type="dxa" w:w="25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Ambulance and medical evacuation dispatch</w:t>
            </w:r>
          </w:p>
        </w:tc>
        <w:tc>
          <w:tcPr>
            <w:tcW w:type="dxa" w:w="22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Save the NGO-contracted ambulance and insurer's 24-hour assistance numbers</w:t>
            </w:r>
          </w:p>
        </w:tc>
        <w:tc>
          <w:tcPr>
            <w:tcW w:type="dxa" w:w="46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Require confirmed coverage at the actual district hospital, an oxygen-capable vehicle when indicated, and a receiving-facility agreement; do not assume national dispatch provides a staffed ambulance (verify before travel).</w:t>
            </w:r>
          </w:p>
        </w:tc>
      </w:tr>
      <w:tr>
        <w:tc>
          <w:tcPr>
            <w:tcW w:type="dxa" w:w="25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US Embassy Kampala</w:t>
            </w:r>
          </w:p>
        </w:tc>
        <w:tc>
          <w:tcPr>
            <w:tcW w:type="dxa" w:w="22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+256 414 306 001</w:t>
            </w:r>
          </w:p>
        </w:tc>
        <w:tc>
          <w:tcPr>
            <w:tcW w:type="dxa" w:w="46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1577 Ggaba Road, Nsambya, Kampala. Request American Citizen Services or the after-hours duty officer for a US-citizen emergency; confirm current routing at ug.usembassy.gov (verify before travel).</w:t>
            </w:r>
          </w:p>
        </w:tc>
      </w:tr>
      <w:tr>
        <w:tc>
          <w:tcPr>
            <w:tcW w:type="dxa" w:w="25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Kampala major referral hospital</w:t>
            </w:r>
          </w:p>
        </w:tc>
        <w:tc>
          <w:tcPr>
            <w:tcW w:type="dxa" w:w="22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Mulago National Referral Hospital, Mulago Hill</w:t>
            </w:r>
          </w:p>
        </w:tc>
        <w:tc>
          <w:tcPr>
            <w:tcW w:type="dxa" w:w="46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Potential major referral option from the city centre; save its current emergency desk number through the official hospital directory. Confirm the correct unit and transport route rather than assuming walk-in specialty availability (verify before travel).</w:t>
            </w:r>
          </w:p>
        </w:tc>
      </w:tr>
      <w:tr>
        <w:tc>
          <w:tcPr>
            <w:tcW w:type="dxa" w:w="25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Mbarara referral and occupational PEP assessment</w:t>
            </w:r>
          </w:p>
        </w:tc>
        <w:tc>
          <w:tcPr>
            <w:tcW w:type="dxa" w:w="22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Mbarara Regional Referral Hospital, Mbarara city</w:t>
            </w:r>
          </w:p>
        </w:tc>
        <w:tc>
          <w:tcPr>
            <w:tcW w:type="dxa" w:w="46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Identify the casualty/emergency and HIV-service duty contacts through the NGO and hospital. Confirm 24-hour occupational exposure assessment, laboratory access and PEP stocks; the exact nearest capable facility depends on the district hospital's location (verify before travel).</w:t>
            </w:r>
          </w:p>
        </w:tc>
      </w:tr>
      <w:tr>
        <w:tc>
          <w:tcPr>
            <w:tcW w:type="dxa" w:w="25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3261C"/>
                <w:sz w:val="17"/>
                <w:szCs w:val="17"/>
              </w:rPr>
              <w:t xml:space="preserve">Nursing registration authority</w:t>
            </w:r>
          </w:p>
        </w:tc>
        <w:tc>
          <w:tcPr>
            <w:tcW w:type="dxa" w:w="220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Uganda Nurses and Midwives Council — unmc.ug</w:t>
            </w:r>
          </w:p>
        </w:tc>
        <w:tc>
          <w:tcPr>
            <w:tcW w:type="dxa" w:w="46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3261C"/>
                <w:sz w:val="17"/>
                <w:szCs w:val="17"/>
              </w:rPr>
              <w:t xml:space="preserve">Use the official council contact directory for temporary registration, qualification verification and scope questions. Save the named officer and written approval before deployment (verify before travel).</w:t>
            </w:r>
          </w:p>
        </w:tc>
      </w:tr>
    </w:tbl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Nearest Hospital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tcMar>
              <w:top w:type="dxa" w:w="180"/>
              <w:left w:type="dxa" w:w="180"/>
              <w:bottom w:type="dxa" w:w="180"/>
              <w:right w:type="dxa" w:w="18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3261C"/>
                <w:sz w:val="24"/>
                <w:szCs w:val="24"/>
              </w:rPr>
              <w:t xml:space="preserve">Uganda national emergency services</w:t>
            </w:r>
          </w:p>
          <w:p>
            <w:r>
              <w:rPr>
                <w:rFonts w:ascii="Arial" w:cs="Arial" w:eastAsia="Arial" w:hAnsi="Arial"/>
                <w:b/>
                <w:bCs/>
                <w:color w:val="FF6A1F"/>
                <w:sz w:val="18"/>
                <w:szCs w:val="18"/>
              </w:rPr>
              <w:t xml:space="preserve">999 or 112</w:t>
            </w:r>
          </w:p>
          <w:p>
            <w:r>
              <w:rPr>
                <w:rFonts w:ascii="Arial" w:cs="Arial" w:eastAsia="Arial" w:hAnsi="Arial"/>
                <w:color w:val="23261C"/>
                <w:sz w:val="17"/>
                <w:szCs w:val="17"/>
              </w:rPr>
              <w:t xml:space="preserve">Request police, fire or medical assistance and give a landmark plus location pin. Dispatch and ambulance availability vary; test the NGO's alternative pathway without placing a test emergency call (verify before travel).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rFonts w:ascii="Arial" w:cs="Arial" w:eastAsia="Arial" w:hAnsi="Arial"/>
                <w:color w:val="23261C"/>
                <w:sz w:val="18"/>
                <w:szCs w:val="18"/>
              </w:rPr>
              <w:t xml:space="preserve">Arrange a travel-medicine consultation ideally 4–6 weeks before departure; select malaria prophylaxis based on contraindications and start and continue it on the prescribed schedule.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rFonts w:ascii="Arial" w:cs="Arial" w:eastAsia="Arial" w:hAnsi="Arial"/>
                <w:color w:val="23261C"/>
                <w:sz w:val="18"/>
                <w:szCs w:val="18"/>
              </w:rPr>
              <w:t xml:space="preserve">Use DEET or picaridin repellent, long sleeves and treated clothing or nets; do not rely on prophylaxis alone.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rFonts w:ascii="Arial" w:cs="Arial" w:eastAsia="Arial" w:hAnsi="Arial"/>
                <w:color w:val="23261C"/>
                <w:sz w:val="18"/>
                <w:szCs w:val="18"/>
              </w:rPr>
              <w:t xml:space="preserve">Seek same-day assessment for fever during travel and after return, explicitly mentioning Uganda travel; treat confusion, breathing difficulty, collapse or severe weakness as emergencies.</w:t>
            </w:r>
          </w:p>
          <w:p>
            <w:r>
              <w:rPr>
                <w:rFonts w:ascii="Arial" w:cs="Arial" w:eastAsia="Arial" w:hAnsi="Arial"/>
                <w:b/>
                <w:bCs/>
                <w:color w:val="FF6A1F"/>
                <w:sz w:val="14"/>
                <w:szCs w:val="14"/>
              </w:rPr>
              <w:t xml:space="preserve">24/7 EMERGENCY ACCESS · CONFIRM ROUTE</w:t>
            </w:r>
          </w:p>
        </w:tc>
        <w:tc>
          <w:tcPr>
            <w:tcW w:type="dxa" w:w="468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shd w:fill="F3F0E6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drawing>
                <wp:inline distT="0" distB="0" distL="0" distR="0">
                  <wp:extent cx="2857500" cy="1857375"/>
                  <wp:effectExtent t="0" r="0" b="0" l="0"/>
                  <wp:docPr id="1" name="Route map" descr="Illustrative hospital route map" title="Hospital route m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01  Destination Intelligence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Kampala and the Mbarara region require different movement and medical-support arrangements. November rain can slow both the intercity journey and the final rural approach.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Review US State Department Uganda advice, embassy alerts, Uganda Ministry of Health notices and WHO outbreak updates shortly before departure and daily during deployment (verify before travel).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Obtain the district hospital's exact name, district, GPS coordinates and access-road condition; do not treat 'near Mbarara' as a sufficient dispatch address.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Plan for rain, standing water and reduced visibility; carry waterproof document protection, non-slip footwear and a spare clinical uniform.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Avoid demonstrations, political gatherings and crowded incident scenes; ask the NGO for daily route and security advice rather than independently investigating disturbances.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Keep phones, cash and bags discreet in central Kampala; use NGO-approved vehicles instead of motorcycle taxis or unvetted street transport.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Review laws and social conditions affecting personal identity, medications, photography and clinical work; obtain confidential NGO advice where relevant (verify before travel).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02  Accommodation-Specific Guidance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A central Kampala hotel is suitable for arrival staging, not daily commuting to a rural hospital near Mbarara. Separate rural lodging must support sleep, secure equipment storage and rapid transport.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Confirm the Kampala hotel's name and address, then map its access roads and nearest suitable emergency department with the NGO (verify before travel).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Book NGO-vetted lodging near the district hospital for clinical days; reject any plan requiring daily Kampala–Mbarara commuting.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Request controlled entry, a working room lock, backup power, reliable water, smoke alarms and an unobstructed stair exit; inspect these on arrival.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Choose screened or air-conditioned rooms and use an insecticide-treated net where needed; use repellent even when sleeping in a hotel.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Keep medicines and sharps in secure, temperature-appropriate storage inaccessible to housekeeping or visitors; arrange hospital storage for clinical supplies.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Identify a hotel assembly point and a sheltered alternate pickup point; tell reception not to disclose your room number or deployment details.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03  Itinerary Risk Notes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The evening arrival and long transfer toward Mbarara are the principal movement concerns. The proposed clinical schedule needs time for orientation, rest and a safe return to Entebbe.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Reconcile 2–9 November with 'Day 7 depart': Day 7 is 8 November and 9 November is Day 8; update flight, lodging, insurance and check-in records accordingly.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Arrange a named driver and vehicle at Entebbe International Airport, with a pickup password and independent dispatch number; refuse unplanned substitutions until confirmed.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Consider an airport-area overnight after the evening arrival; if continuing to central Kampala, use only a prearranged vetted transfer and never continue to Mbarara that night.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Schedule the Kampala–Masaka–Mbarara road transfer in daylight, allowing a substantial traffic and rain buffer rather than a fixed arrival promise (verify before travel).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Reserve the first hospital period for credential checks, orientation, referral pathways and infection-control assessment before accepting independent clinical duties.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Return toward Entebbe at least the day before an early or time-critical international flight; avoid a rural-to-airport sprint or night drive to preserve clinical hours.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04  Emergency Protocols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Use a simple scene-safety, clinical-assessment and coordinated-response sequence. Local emergency numbers are useful backups, but the NGO must own a practical response pathway.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Move out of immediate danger, assess airway, breathing and circulation within your training, and call 999 or 112 for life-threatening events.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Send dispatch and the NGO a location pin, landmark, callback number, number of patients and a concise description of hazards or injuries.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Activate the contracted ambulance or approved transport pathway simultaneously when national response is uncertain; do not self-drive when ill, injured or distressed.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After a collision, prioritize traffic and fuel hazards, request police and medical help, and avoid roadside disputes; preserve essential information only when safe.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During a security incident, shelter or withdraw as directed by the NGO, keep a low profile and contact the embassy for serious detention, violence or missing-person concerns.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Carry an offline emergency card with allergies, medicines, insurer, NGO lead and next of kin; record incident times and actions without exposing patient identifiers.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05  Health &amp; Medical Access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Malaria prevention and early assessment of fever are essential throughout this itinerary. Rural facilities may not have the diagnostics, blood products or critical care needed for a severely ill staff member.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Arrange a travel-medicine consultation ideally 4–6 weeks before departure; select malaria prophylaxis based on contraindications and start and continue it on the prescribed schedule.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Use DEET or picaridin repellent, long sleeves and treated clothing or nets; do not rely on prophylaxis alone.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Seek same-day assessment for fever during travel and after return, explicitly mentioning Uganda travel; treat confusion, breathing difficulty, collapse or severe weakness as emergencies.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Map district-level stabilization, Mbarara Regional Referral Hospital and a Kampala tertiary option; confirm emergency admission, laboratory, blood bank and critical-care capabilities (verify before travel).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Use sealed or safely treated water, safe food practices and oral rehydration supplies; avoid freshwater swimming because of schistosomiasis risk.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Arrange immediate wound washing and urgent rabies assessment after any mammal bite or scratch; identify a source of vaccine and immunoglobulin before rural deployment (verify before travel).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06  Evacuation Triggers &amp; Routes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Evacuation decisions should be based on clinical capability and safe access, not on a predetermined destination alone. All receiving facilities, road routes and aviation options require operational confirmation.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Request urgent medical evacuation assessment for severe trauma, suspected severe malaria, respiratory compromise, altered consciousness or any illness beyond local stabilization capability.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Trigger precautionary relocation for credible targeted threats, unrest affecting access, road isolation or loss of essential medical support; let the NGO security lead authorize safe timing.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Use the district hospital to Mbarara referral pathway when clinically appropriate, then consider Kampala tertiary care; pre-alert the receiving team and document acceptance (verify before travel).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Plan the Mbarara–Masaka–Kampala/Entebbe corridor for road transfer, but recheck road conditions and alternate access before movement; do not use flooded or unassessed rural shortcuts.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Treat Entebbe International Airport as the principal international exit; consider Mbarara/Nyakisharara airfield only if the evacuation provider confirms aircraft suitability, access and permissions (verify before travel).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Let the treating clinician and assistance provider select road ambulance, air ambulance or commercial travel; do not delay life-saving care for authorization, and never assume an unstable patient can fly commercially.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07  Financial &amp; Document Continuity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Keep personal travel documents and deployment records recoverable without carrying all originals together. Insurance must cover clinical work rather than tourism alone.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Check passport validity, Uganda entry authorization and yellow-fever certificate requirements using official immigration and embassy sources; use the official Uganda e-immigration portal where applicable (verify before travel).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Obtain written insurance confirmation for paid or volunteer nursing, occupational infection, hospitalization, medical evacuation and repatriation, including exclusions for outbreaks or advisory levels.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Carry two payment methods stored separately and a modest reserve of Ugandan shillings; agree who can guarantee hospital deposits after hours.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Store encrypted copies of passport, registration, insurance and emergency contacts offline and with an authorized home contact; carry paper copies separately from originals.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Keep deployment authorization and medication paperwork accessible at the border without placing confidential patient or staff records in the same folder.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Record card-blocking numbers and the embassy lost-passport procedure; establish emergency funding authority with the NGO before departure.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08  Communications Plan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The mission needs a named duty officer, predictable check-ins and a tested missed-contact response. Rural connectivity should be assessed before it becomes an emergency dependency.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Nominate an NGO in-country lead, alternate, clinical supervisor and US-based contact; give each the confirmed itinerary and emergency escalation tree.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Check in on arrival, at every intercity departure and arrival, and morning and evening during rural deployment; use Uganda's East Africa Time, UTC+3.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Agree a missed-check-in ladder: attempt phone and messaging contact after 30 minutes, notify the duty officer after 60 minutes, and initiate local welfare checks after two hours or sooner for danger indicators.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Obtain a legally registered local SIM or compatible roaming service, and carry a charged power bank; download offline maps and test coverage at the hospital and lodging.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Set an alternate voice or SMS channel if messaging data fails; arrange a vehicle radio or lawful satellite backup if the rural site lacks dependable coverage (verify before travel).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Enroll in the US Smart Traveler Enrollment Program and prohibit identifiable patient details in personal messages, social posts or routine location check-ins.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09  Credentials &amp; Licensing for Practice Abroad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A US RN license does not by itself authorize nursing practice in Uganda. Temporary registration, local privileges and insurance must be resolved before patient care begins.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Apply to the Uganda Nurses and Midwives Council for the appropriate temporary registration; confirm current eligibility, processing time, fees and required source verification directly with the council (verify before travel).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Carry your passport, current US RN license verification, nursing qualification, good-standing documentation, CV, NGO appointment letter and host-facility acceptance; obtain certified copies if requested.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Save a named UNMC registration contact and your US state board's verification contact; have the host hospital independently verify approval before assigning clinical duties.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Obtain a written role description and privileges covering assessment, medication administration and procedures; do not assume suturing or prescribing is permitted because you carry a suture kit or antibiotics.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Confirm malpractice or professional indemnity coverage valid in Uganda for the actual rural setting, procedures and dates, including legal defense and occupational incidents.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Confirm the correct immigration permission for clinical or volunteer work and any other authorization with the NGO; restrict activities to expressly authorized nonclinical support if approval is delayed (verify before travel).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10  Medical Kit &amp; Pharmaceutical Customs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The declared kit comprises a suture kit, PPE, amoxicillin, 20 tramadol tablets, a glucometer and a 28-day HIV PEP supply. Personal medication and clinical supplies may follow different import pathways.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Create an inventory listing quantities, generic names, strengths, expiry dates and intended users for every item; add glucometer strips, batteries, lancets and sharps disposal arrangements.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Seek written guidance from Uganda's National Drug Authority and customs on tramadol's current control status and required import permission; do not assume 20 tablets are exempt, and check transit-country rules (verify before travel).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Carry prescriptions and a clinician or NGO letter stating indication, dose, duration and purpose; keep tramadol, amoxicillin and PEP in original labeled packaging.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Separate personal emergency PEP from medicines intended for patients; use an approved NGO import or donation pathway for clinical stock and make required declarations (verify before travel).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Keep medicines secure and within labeled temperature and humidity limits; use lockable storage and inventory controls for tramadol, with no informal sharing or donation.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Confirm airline rules for the suture kit, needles, lancets and batteries; retain essential lawful medicines in carry-on luggage and pack sharps in compliant secure containers (verify before travel).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11  Occupational Exposure &amp; Post-Exposure Protocols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Sharps, blood exposure and TB wards are identified hazards; a personal 28-day HIV PEP supply is useful only with an immediate assessment and follow-up pathway. The exact district location is needed to identify the nearest capable exposure service.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Wash sharps injuries promptly with soap and water and flush exposed eyes or mucosa with water or saline; do not squeeze wounds, scrub aggressively or apply bleach.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Report immediately to the host supervisor and NGO clinician, document the exposure, and obtain consent-based source testing and baseline HIV, HBV and HCV assessment under local protocol.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Start indicated HIV PEP as soon as possible, ideally within hours and no later than 72 hours; do not wait for source results, and obtain expert advice urgently even if presentation is later.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Have an occupational-health clinician verify the carried PEP regimen, expiry, interactions and monitoring plan; complete the prescribed 28-day course and arrange follow-up testing under current guidance.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Confirm 24-hour exposure assessment at the host facility and a backup at Mbarara Regional Referral Hospital; arrange HBV management according to documented immunity and HCV testing because no HCV PEP is available (verify before travel).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Use a fit-tested N95/FFP2 or equivalent for TB-risk work, maximize ventilation and avoid unsupported aerosol-generating procedures; report a significant TB exposure and arrange repeat testing 8–10 weeks after the last exposure as advised.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Stop unsupported high-risk care if PPE, isolation or outbreak protocols are inadequate; isolate safely, notify infection prevention and follow Uganda Ministry of Health directions for suspected outbreak illness rather than taking routine public transport.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12  Clinical Deployment Continuity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Continuity depends on local ownership, documented handoffs and rested staff. This section governs service transfer when the medical or security evacuation thresholds elsewhere in this plan are met.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Name a host-facility clinical lead and alternate who retain patient responsibility; agree daily task allocation, supervision and escalation before the first shift.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Prepare a secure handoff template covering patient status, pending tests, time-critical medicines, procedures and referral needs; keep records within approved facility systems.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Activate handoff when relocation is ordered, illness makes you unfit, registration lapses or safe supervision disappears; do not remain in unsafe conditions solely to finish a shift.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Transfer medicine inventories, keys, sharps responsibilities and outstanding referrals to a named authorized colleague; document receipt without removing patient files.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Set shift limits, protected sleep, meal and hydration breaks; avoid overnight duty followed by a long road transfer and use a buddy to identify fatigue-related errors.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Hold a brief daily welfare and workload review, offer confidential support after distressing events, and schedule an end-of-mission debrief and occupational-health follow-up.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13  Vaccination &amp; Immunity Readiness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474B36"/>
          <w:sz w:val="19"/>
          <w:szCs w:val="19"/>
        </w:rPr>
        <w:t xml:space="preserve">You report hepatitis B immunity, a negative IGRA in 2026 and completed yellow-fever vaccination, but the separate answer 'None' creates uncertainty. Confirm these records rather than interpreting 'None' as proof of no further vaccination needs.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Reconcile the shifted questionnaire entries with occupational health and confirm allergies, current medicines, chronic conditions and any contraindications relevant to prophylaxis or vaccines.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Carry the original International Certificate of Vaccination or Prophylaxis for yellow fever and confirm that the entry is valid; verify current entry rules rather than assuming a booster is required (verify before travel).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Provide hepatitis B vaccination and documented anti-HBs response to the NGO clinician; clarify any missing evidence before sharps-risk duties.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Review routine MMR, tetanus/diphtheria/pertussis, polio, influenza and COVID-19 protection, plus hepatitis A and typhoid recommendations for Uganda (verify before travel).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Discuss rabies pre-exposure vaccination and any current polio or outbreak-related recommendations based on rural access and duty location; reserve other vaccines for a clinician-assessed indication.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Retain the dated 2026 IGRA result as a TB baseline; do not treat a negative result as protection, and arrange exposure-based or symptom-driven follow-up.</w:t>
      </w:r>
    </w:p>
    <w:p>
      <w:pPr>
        <w:pStyle w:val="Heading1"/>
        <w:pBdr>
          <w:bottom w:val="single" w:color="FF6A1F" w:sz="14" w:space="5"/>
        </w:pBdr>
        <w:spacing w:after="180" w:before="300"/>
      </w:pPr>
      <w:r>
        <w:rPr>
          <w:rFonts w:ascii="Georgia" w:cs="Georgia" w:eastAsia="Georgia" w:hAnsi="Georgia"/>
          <w:b/>
          <w:bCs/>
          <w:color w:val="23261C"/>
          <w:sz w:val="34"/>
          <w:szCs w:val="34"/>
        </w:rPr>
        <w:t xml:space="preserve">Pre-departure Checklist</w:t>
      </w:r>
    </w:p>
    <w:p>
      <w:pPr>
        <w:spacing w:after="90" w:before="160"/>
      </w:pPr>
      <w:r>
        <w:rPr>
          <w:rFonts w:ascii="Georgia" w:cs="Georgia" w:eastAsia="Georgia" w:hAnsi="Georgia"/>
          <w:b/>
          <w:bCs/>
          <w:color w:val="23261C"/>
          <w:sz w:val="22"/>
          <w:szCs w:val="22"/>
        </w:rPr>
        <w:t xml:space="preserve">Documents &amp; Essentials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Confirm whether departure is 8 or 9 November and align all bookings and coverage.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Verify immigration permission for clinical work and carry credential and appointment documents.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Confirm Uganda-valid malpractice, occupational exposure and evacuation coverage in writing.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Obtain required drug-import documentation and written tramadol guidance from relevant authorities.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Agree check-in times, missed-contact thresholds and a named 24-hour NGO duty officer.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Prepare encrypted and paper document backups, separate payment methods and emergency funding authority.</w:t>
      </w:r>
    </w:p>
    <w:p>
      <w:pPr>
        <w:spacing w:after="90" w:before="160"/>
      </w:pPr>
      <w:r>
        <w:rPr>
          <w:rFonts w:ascii="Georgia" w:cs="Georgia" w:eastAsia="Georgia" w:hAnsi="Georgia"/>
          <w:b/>
          <w:bCs/>
          <w:color w:val="23261C"/>
          <w:sz w:val="22"/>
          <w:szCs w:val="22"/>
        </w:rPr>
        <w:t xml:space="preserve">Health &amp; Safety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Obtain the district hospital's name, GPS location, supervisor and rural lodging address.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Complete a travel-medicine consultation and obtain malaria prophylaxis.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Reconcile vaccination answers and carry yellow-fever, hepatitis B immunity and baseline IGRA records.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Have the 28-day PEP regimen reviewed and establish immediate exposure reporting and follow-up.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Confirm hospital acceptance pathways, ambulance dispatch and insurer assistance numbers.</w:t>
      </w:r>
    </w:p>
    <w:p>
      <w:pPr>
        <w:spacing w:after="90" w:before="160"/>
      </w:pPr>
      <w:r>
        <w:rPr>
          <w:rFonts w:ascii="Georgia" w:cs="Georgia" w:eastAsia="Georgia" w:hAnsi="Georgia"/>
          <w:b/>
          <w:bCs/>
          <w:color w:val="23261C"/>
          <w:sz w:val="22"/>
          <w:szCs w:val="22"/>
        </w:rPr>
        <w:t xml:space="preserve">Travel Readiness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Secure UNMC temporary registration and written clinical privileges before patient care.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Inventory the suture kit, PPE, amoxicillin, 20 tramadol tablets, glucometer and PEP with strengths and expiry dates.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Complete respirator fit testing and confirm adequate PPE, sharps containers and TB controls.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Book vetted airport transfers, daylight intercity travel and a pre-flight buffer night.</w:t>
      </w:r>
    </w:p>
    <w:p>
      <w:pPr>
        <w:spacing w:after="80"/>
      </w:pPr>
      <w:r>
        <w:rPr>
          <w:rFonts w:ascii="Arial" w:cs="Arial" w:eastAsia="Arial" w:hAnsi="Arial"/>
          <w:color w:val="23261C"/>
          <w:sz w:val="18"/>
          <w:szCs w:val="18"/>
        </w:rPr>
        <w:t xml:space="preserve">☐  Review current security, weather, outbreak and entry information immediately before departure (verify before travel).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8C4B5" w:sz="2"/>
              <w:left w:val="single" w:color="C8C4B5" w:sz="2"/>
              <w:bottom w:val="single" w:color="C8C4B5" w:sz="2"/>
              <w:right w:val="single" w:color="C8C4B5" w:sz="2"/>
            </w:tcBorders>
            <w:shd w:fill="ECE1D1" w:val="clear"/>
            <w:tcMar>
              <w:top w:type="dxa" w:w="180"/>
              <w:left w:type="dxa" w:w="200"/>
              <w:bottom w:type="dxa" w:w="180"/>
              <w:right w:type="dxa" w:w="2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3261C"/>
                <w:sz w:val="26"/>
                <w:szCs w:val="26"/>
              </w:rPr>
              <w:t xml:space="preserve">◇   Be informed. Be prepared. Travel with confidence.</w:t>
            </w:r>
          </w:p>
        </w:tc>
      </w:tr>
    </w:tbl>
    <w:p>
      <w:pPr>
        <w:spacing w:before="240"/>
      </w:pPr>
      <w:r>
        <w:rPr>
          <w:rFonts w:ascii="Arial" w:cs="Arial" w:eastAsia="Arial" w:hAnsi="Arial"/>
          <w:color w:val="474B36"/>
          <w:sz w:val="14"/>
          <w:szCs w:val="14"/>
        </w:rPr>
        <w:t xml:space="preserve">This sample complements official advisories and insurance. Verify critical details before travel.</w:t>
      </w:r>
    </w:p>
    <w:p>
      <w:pPr>
        <w:pageBreakBefore/>
        <w:spacing w:after="80"/>
        <w:jc w:val="center"/>
      </w:pPr>
      <w:r>
        <w:rPr>
          <w:rFonts w:ascii="Arial"/>
          <w:sz w:val="14"/>
          <w:color w:val="23261C"/>
          <w:b/>
        </w:rPr>
        <w:t>PRINT THIS PAGE · CUT AROUND THE OUTER LINE · FOLD AT CENTER</w:t>
      </w:r>
    </w:p>
    <w:tbl>
      <w:tblPr>
        <w:tblW w:w="9360" w:type="dxa"/>
        <w:tblBorders>
          <w:top w:val="single" w:sz="10" w:color="23261C"/>
          <w:left w:val="single" w:sz="10" w:color="23261C"/>
          <w:bottom w:val="single" w:sz="10" w:color="23261C"/>
          <w:right w:val="single" w:sz="10" w:color="23261C"/>
          <w:insideV w:val="dashed" w:sz="5" w:color="23261C"/>
        </w:tblBorders>
      </w:tblPr>
      <w:tblGrid>
        <w:gridCol w:w="4680"/>
        <w:gridCol w:w="4680"/>
      </w:tblGrid>
      <w:tr>
        <w:tc>
          <w:tcPr>
            <w:tcW w:w="468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80"/>
            </w:pPr>
            <w:r>
              <w:rPr>
                <w:rFonts w:ascii="Arial"/>
                <w:sz w:val="14"/>
                <w:color w:val="FF6A1F"/>
                <w:b/>
              </w:rPr>
              <w:t>SERLOCK TRAVEL · QUICK REFERENCE</w:t>
            </w:r>
          </w:p>
          <w:p>
            <w:pPr>
              <w:spacing w:after="80"/>
            </w:pPr>
            <w:r>
              <w:rPr>
                <w:rFonts w:ascii="Arial"/>
                <w:sz w:val="42"/>
                <w:color w:val="23261C"/>
                <w:b/>
              </w:rPr>
              <w:t>Uganda</w:t>
            </w:r>
          </w:p>
          <w:p>
            <w:pPr>
              <w:spacing w:after="80"/>
            </w:pPr>
            <w:r>
              <w:rPr>
                <w:rFonts w:ascii="Arial"/>
                <w:sz w:val="16"/>
                <w:color w:val="23261C"/>
              </w:rPr>
              <w:t>October 3–17 · Fictional sample · Clinical team</w:t>
            </w:r>
          </w:p>
          <w:p>
            <w:pPr>
              <w:spacing w:after="80"/>
            </w:pPr>
            <w:r>
              <w:rPr>
                <w:rFonts w:ascii="Arial"/>
                <w:sz w:val="20"/>
                <w:color w:val="23261C"/>
                <w:b/>
              </w:rPr>
              <w:t>EMERGENCY &amp; SUPPORT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  <w:b/>
              </w:rPr>
              <w:t>Emergency services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</w:rPr>
              <w:t>112 or 999 · verify locally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  <w:b/>
              </w:rPr>
              <w:t>U.S. Embassy Kampala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</w:rPr>
              <w:t>+256 414 306 001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  <w:b/>
              </w:rPr>
              <w:t>Referral hospital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</w:rPr>
              <w:t>Mulago Hospital · verify emergency desk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  <w:b/>
              </w:rPr>
              <w:t>Exposure / PEP contact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</w:rPr>
              <w:t>NGO clinical lead · fictional</w:t>
            </w:r>
          </w:p>
          <w:p>
            <w:pPr>
              <w:spacing w:after="80"/>
            </w:pPr>
            <w:r>
              <w:rPr>
                <w:rFonts w:ascii="Arial"/>
                <w:sz w:val="13"/>
                <w:color w:val="FF6A1F"/>
              </w:rPr>
              <w:t>All details are fictional examples. Verify every number and route before travel.</w:t>
            </w:r>
          </w:p>
        </w:tc>
        <w:tc>
          <w:tcPr>
            <w:tcW w:w="468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80"/>
            </w:pPr>
            <w:r>
              <w:rPr>
                <w:rFonts w:ascii="Arial"/>
                <w:sz w:val="14"/>
                <w:color w:val="FF6A1F"/>
                <w:b/>
              </w:rPr>
              <w:t>TRIP DETAILS · CARRY OFFLINE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  <w:b/>
              </w:rPr>
              <w:t>TRAVELERS</w:t>
            </w:r>
          </w:p>
          <w:p>
            <w:pPr>
              <w:spacing w:after="80"/>
            </w:pPr>
            <w:r>
              <w:rPr>
                <w:rFonts w:ascii="Arial"/>
                <w:sz w:val="16"/>
                <w:color w:val="23261C"/>
              </w:rPr>
              <w:t>Clinical deployment team · fictional travelers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  <w:b/>
              </w:rPr>
              <w:t>ACCOMMODATION</w:t>
            </w:r>
          </w:p>
          <w:p>
            <w:pPr>
              <w:spacing w:after="80"/>
            </w:pPr>
            <w:r>
              <w:rPr>
                <w:rFonts w:ascii="Arial"/>
                <w:sz w:val="16"/>
                <w:color w:val="23261C"/>
              </w:rPr>
              <w:t>Kampala guesthouse · fictional booking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  <w:b/>
              </w:rPr>
              <w:t>PERSONAL CONTACT</w:t>
            </w:r>
          </w:p>
          <w:p>
            <w:pPr>
              <w:spacing w:after="80"/>
            </w:pPr>
            <w:r>
              <w:rPr>
                <w:rFonts w:ascii="Arial"/>
                <w:sz w:val="15"/>
                <w:color w:val="23261C"/>
              </w:rPr>
              <w:t>Write in: ______________________________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  <w:b/>
              </w:rPr>
              <w:t>INSURANCE / ASSISTANCE</w:t>
            </w:r>
          </w:p>
          <w:p>
            <w:pPr>
              <w:spacing w:after="80"/>
            </w:pPr>
            <w:r>
              <w:rPr>
                <w:rFonts w:ascii="Arial"/>
                <w:sz w:val="15"/>
                <w:color w:val="23261C"/>
              </w:rPr>
              <w:t>Provider: ______________________________</w:t>
            </w:r>
          </w:p>
          <w:p>
            <w:pPr>
              <w:spacing w:after="80"/>
            </w:pPr>
            <w:r>
              <w:rPr>
                <w:rFonts w:ascii="Arial"/>
                <w:sz w:val="15"/>
                <w:color w:val="23261C"/>
              </w:rPr>
              <w:t>Policy: _________________________________</w:t>
            </w:r>
          </w:p>
          <w:p>
            <w:pPr>
              <w:spacing w:after="80"/>
            </w:pPr>
            <w:r>
              <w:rPr>
                <w:rFonts w:ascii="Arial"/>
                <w:sz w:val="15"/>
                <w:color w:val="23261C"/>
              </w:rPr>
              <w:t>Phone: _________________________________</w:t>
            </w:r>
          </w:p>
          <w:p>
            <w:pPr>
              <w:spacing w:after="80"/>
            </w:pPr>
            <w:r>
              <w:rPr>
                <w:rFonts w:ascii="Arial"/>
                <w:sz w:val="15"/>
                <w:color w:val="FF6A1F"/>
                <w:b/>
              </w:rPr>
              <w:t>BEFORE CARRYING</w:t>
            </w:r>
          </w:p>
          <w:p>
            <w:pPr>
              <w:spacing w:after="80"/>
            </w:pPr>
            <w:r>
              <w:rPr>
                <w:rFonts w:ascii="Arial"/>
                <w:sz w:val="14"/>
                <w:color w:val="23261C"/>
              </w:rPr>
              <w:t>Verify all phone numbers, addresses, coverage details and routes. This card complements official advisories and insurance.</w:t>
            </w:r>
          </w:p>
        </w:tc>
      </w:tr>
    </w:tbl>
    <w:sectPr>
      <w:headerReference w:type="default" r:id="rId7"/>
      <w:footerReference w:type="default" r:id="rId8"/>
      <w:type w:val="nextPage"/>
      <w:pgSz w:w="12240" w:h="15840" w:orient="portrait"/>
      <w:pgMar w:top="1050" w:right="1440" w:bottom="105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4B5" w:sz="2"/>
      </w:pBdr>
      <w:tabs>
        <w:tab w:val="right" w:pos="9360"/>
      </w:tabs>
    </w:pPr>
    <w:r>
      <w:rPr>
        <w:rFonts w:ascii="Arial" w:cs="Arial" w:eastAsia="Arial" w:hAnsi="Arial"/>
        <w:color w:val="474B36"/>
        <w:sz w:val="14"/>
        <w:szCs w:val="14"/>
      </w:rPr>
      <w:t xml:space="preserve">UGANDA</w:t>
    </w:r>
    <w:r>
      <w:rPr>
        <w:rFonts w:ascii="Arial" w:cs="Arial" w:eastAsia="Arial" w:hAnsi="Arial"/>
        <w:color w:val="474B36"/>
        <w:sz w:val="14"/>
        <w:szCs w:val="14"/>
      </w:rPr>
      <w:t xml:space="preserve">	A SAFER JOURNEY  ·  A BRIGHTER TOMORROW  ·  </w:t>
    </w:r>
    <w:r>
      <w:rPr>
        <w:rFonts w:ascii="Arial" w:cs="Arial" w:eastAsia="Arial" w:hAnsi="Arial"/>
        <w:color w:val="474B36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60"/>
      <w:tblBorders>
        <w:top w:val="none"/>
        <w:left w:val="none"/>
        <w:bottom w:val="single" w:color="C8C4B5" w:sz="2"/>
        <w:right w:val="none"/>
        <w:insideH w:val="none"/>
        <w:insideV w:val="none"/>
      </w:tblBorders>
    </w:tblPr>
    <w:tblGrid>
      <w:gridCol w:w="4680"/>
      <w:gridCol w:w="4680"/>
    </w:tblGrid>
    <w:tr>
      <w:tc>
        <w:tcPr>
          <w:tcW w:type="dxa" w:w="4680"/>
        </w:tcPr>
        <w:p>
          <w:r>
            <w:rPr>
              <w:rFonts w:ascii="Arial" w:cs="Arial" w:eastAsia="Arial" w:hAnsi="Arial"/>
              <w:b/>
              <w:bCs/>
              <w:color w:val="474B36"/>
              <w:sz w:val="14"/>
              <w:szCs w:val="14"/>
            </w:rPr>
            <w:t xml:space="preserve">UGANDA</w:t>
          </w:r>
        </w:p>
      </w:tc>
      <w:tc>
        <w:tcPr>
          <w:tcW w:type="dxa" w:w="4680"/>
        </w:tcPr>
        <w:p>
          <w:pPr>
            <w:jc w:val="right"/>
          </w:pPr>
          <w:r>
            <w:rPr>
              <w:rFonts w:ascii="Arial" w:cs="Arial" w:eastAsia="Arial" w:hAnsi="Arial"/>
              <w:b/>
              <w:bCs/>
              <w:color w:val="474B36"/>
              <w:sz w:val="14"/>
              <w:szCs w:val="14"/>
            </w:rPr>
            <w:t xml:space="preserve">STAY SAFE ABROAD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4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Georgia" w:cs="Georgia" w:eastAsia="Georgia" w:hAnsi="Georgia"/>
      <w:b/>
      <w:bCs/>
      <w:color w:val="23261C"/>
      <w:sz w:val="34"/>
      <w:szCs w:val="3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d530cecfb94bb87bd047070bddea311da9ead6bd.jpg"/><Relationship Id="rId10" Type="http://schemas.openxmlformats.org/officeDocument/2006/relationships/image" Target="media/6b6b960176f5963f651774325f17a085721a1d08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2026-09-23T20:05:52.890Z</dcterms:created>
  <dcterms:modified xsi:type="dcterms:W3CDTF">2026-09-23T20:05:52.890Z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