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20"/>
      </w:pPr>
      <w:r>
        <w:rPr>
          <w:rFonts w:ascii="Arial" w:cs="Arial" w:eastAsia="Arial" w:hAnsi="Arial"/>
          <w:b/>
          <w:bCs/>
          <w:color w:val="474B36"/>
          <w:sz w:val="15"/>
          <w:szCs w:val="15"/>
        </w:rPr>
        <w:t xml:space="preserve">SERLOCK TRAVEL · BUSINESS TEAM SAMPLE</w:t>
      </w:r>
    </w:p>
    <w:p>
      <w:pPr>
        <w:spacing w:after="160"/>
      </w:pPr>
      <w:r>
        <w:rPr>
          <w:rFonts w:ascii="Georgia" w:cs="Georgia" w:eastAsia="Georgia" w:hAnsi="Georgia"/>
          <w:b/>
          <w:bCs/>
          <w:color w:val="23261C"/>
          <w:sz w:val="54"/>
          <w:szCs w:val="54"/>
        </w:rPr>
        <w:t xml:space="preserve">Readiness Plan —</w:t>
      </w:r>
      <w:r>
        <w:rPr>
          <w:rFonts w:ascii="Georgia" w:cs="Georgia" w:eastAsia="Georgia" w:hAnsi="Georgia"/>
          <w:b/>
          <w:bCs/>
          <w:color w:val="23261C"/>
          <w:sz w:val="54"/>
          <w:szCs w:val="54"/>
        </w:rPr>
        <w:br/>
        <w:t xml:space="preserve">
Lagos</w:t>
      </w:r>
    </w:p>
    <w:p>
      <w:pPr>
        <w:pBdr>
          <w:bottom w:val="single" w:color="FF6A1F" w:sz="18" w:space="8"/>
        </w:pBdr>
        <w:spacing w:after="220"/>
      </w:pPr>
    </w:p>
    <w:p>
      <w:pPr>
        <w:spacing w:after="360"/>
      </w:pPr>
      <w:r>
        <w:rPr>
          <w:rFonts w:ascii="Arial" w:cs="Arial" w:eastAsia="Arial" w:hAnsi="Arial"/>
          <w:b/>
          <w:bCs/>
          <w:color w:val="474B36"/>
          <w:sz w:val="16"/>
          <w:szCs w:val="16"/>
        </w:rPr>
        <w:t xml:space="preserve">TRAVEL PREPARED. TRAVEL FURTHER.</w:t>
      </w:r>
    </w:p>
    <w:p>
      <w:pPr>
        <w:spacing w:after="26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Lagos cover" descr="Sample business team travel visual" title="Lagos travel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SAFETY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HEALTH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SUPPORT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PEACE OF MIND</w:t>
            </w:r>
          </w:p>
        </w:tc>
      </w:tr>
    </w:tbl>
    <w:p>
      <w:pPr>
        <w:spacing w:before="220"/>
        <w:jc w:val="center"/>
      </w:pPr>
      <w:r>
        <w:rPr>
          <w:rFonts w:ascii="Arial" w:cs="Arial" w:eastAsia="Arial" w:hAnsi="Arial"/>
          <w:b/>
          <w:bCs/>
          <w:color w:val="FF6A1F"/>
          <w:sz w:val="14"/>
          <w:szCs w:val="14"/>
        </w:rPr>
        <w:t xml:space="preserve">FICTIONAL SAMPLE · VERIFY ALL DETAILS BEFORE TRAVEL</w:t>
      </w:r>
    </w:p>
    <w:p>
      <w:pPr>
        <w:sectPr>
          <w:pgSz w:w="12240" w:h="15840" w:orient="portrait"/>
          <w:pgMar w:top="900" w:right="1440" w:bottom="90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Emergency Contacts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660"/>
      </w:tblGrid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Service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Phone Number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All emergencies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112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Nigeria national emergency number; confirm response arrangements locally.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Nigeria Police emergency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112 / local command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Use 112 first and the contracted security provider for coordinated support.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Aga Khan? Not in Lagos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Do not use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Avoid copied destination errors; confirm a Lagos receiving hospital before travel.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Evercare Hospital Lekki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+234 1 700 0000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Private hospital; verify emergency capability, route, and insurer acceptance.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U.S. Consulate General Lagos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+234 201 460 3400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Confirm current citizen-services and after-hours details before travel.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Company incident lead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Sam Patel — internal directory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First organizational escalation contact.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Security lead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Kim Ode — internal directory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Owns security assessment, movement controls, and relocation advice.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Insurer assistance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International SOS — policy card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Use the verified membership number and 24/7 line stored offline.</w:t>
            </w:r>
          </w:p>
        </w:tc>
      </w:tr>
    </w:tbl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Nearest Hospital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3261C"/>
                <w:sz w:val="24"/>
                <w:szCs w:val="24"/>
              </w:rPr>
              <w:t xml:space="preserve">Aga Khan? Not in Lagos</w:t>
            </w:r>
          </w:p>
          <w:p>
            <w:r>
              <w:rPr>
                <w:rFonts w:ascii="Arial" w:cs="Arial" w:eastAsia="Arial" w:hAnsi="Arial"/>
                <w:b/>
                <w:bCs/>
                <w:color w:val="FF6A1F"/>
                <w:sz w:val="18"/>
                <w:szCs w:val="18"/>
              </w:rPr>
              <w:t xml:space="preserve">Do not use</w:t>
            </w:r>
          </w:p>
          <w:p>
            <w:r>
              <w:rPr>
                <w:rFonts w:ascii="Arial" w:cs="Arial" w:eastAsia="Arial" w:hAnsi="Arial"/>
                <w:color w:val="23261C"/>
                <w:sz w:val="17"/>
                <w:szCs w:val="17"/>
              </w:rPr>
              <w:t xml:space="preserve">Avoid copied destination errors; confirm a Lagos receiving hospital before travel.</w:t>
            </w:r>
          </w:p>
          <w:p>
            <w:r>
              <w:rPr>
                <w:rFonts w:ascii="Arial" w:cs="Arial" w:eastAsia="Arial" w:hAnsi="Arial"/>
                <w:b/>
                <w:bCs/>
                <w:color w:val="FF6A1F"/>
                <w:sz w:val="14"/>
                <w:szCs w:val="14"/>
              </w:rPr>
              <w:t xml:space="preserve">24/7 EMERGENCY ACCESS · CONFIRM ROUTE</w:t>
            </w:r>
          </w:p>
        </w:tc>
        <w:tc>
          <w:tcPr>
            <w:tcW w:type="dxa" w:w="468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2857500" cy="1857375"/>
                  <wp:effectExtent t="0" r="0" b="0" l="0"/>
                  <wp:docPr id="1" name="Route map" descr="Illustrative hospital route map" title="Hospital rout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01  Destination Intelligence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Lagos conditions can change by district and hour; decisions should use current local security and transport information.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Review official travel advice, company intelligence, weather, flooding, and civil-disturbance alerts before departure and daily.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Map airport, hotel, meeting sites, approved hospitals, police support, and two alternate routes with the security provider.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Avoid demonstrations, political gatherings, waterfront or isolated areas not approved for work, and unnecessary night movement.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Build substantial transfer buffers because traffic or flooding can block otherwise short routes.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only organization-approved venues and transport; do not publish real-time itineraries or accommodation details.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02  Duty-of-Care Summary &amp; Documentation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Acme Energy must document foreseeable risks, controls, ownership, and traveler acceptance throughout the assignment.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Record the trip owner, approving manager, traveler, security provider, insurer, and 24/7 incident lead in one controlled file.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Issue a current risk assessment covering movement, accommodation, health, information security, and evacuation thresholds.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Document the traveler briefing, questions, medical self-declaration process, consent, and acknowledgement of remaining risks.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insurance and assistance coverage for Nigeria, business activity, medical evacuation, security evacuation, and trip extension.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Retain booking changes, check-in records, incident decisions, and post-trip actions according to company privacy and retention rules.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03  Arrival, Accommodation &amp; Movement Control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airport-to-hotel movement and daily road transfers need positive driver and route control.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a prearranged driver whose name, photo, phone, vehicle plate, and pickup password are confirmed through dispatch.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Reject substitutions until dispatch independently verifies them; do not accept unsolicited airport transport.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Require a staffed hotel with controlled entry, reliable locks, fire detection, backup power, potable water, and a tested emergency procedure.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Share departure, route, vehicle, and estimated arrival in the company channel for every movement.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Avoid routine night travel and keep doors locked, windows closed, phones out of sight, and bags off visible seats.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04  Itinerary Risk Notes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Meetings should remain movable, cancelable, and supportable without exposing the traveler to schedule pressure.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Schedule meetings during daylight at approved sites with controlled access and reliable communications.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Allow a minimum traffic contingency agreed by local operations rather than relying on map estimates.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Do not disclose the complete itinerary to drivers, vendors, or contacts who need only one movement segment.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Pause movement when routes are blocked, drivers cannot be verified, security alerts affect the destination, or the traveler loses communications.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one daily work block available for delay recovery so a missed meeting does not force unsafe movement.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05  Escalation Matrix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Escalation is ordered but not sequential when danger is immediate.*  - For immediate danger, call 112 and the security provider, then notify Sam Patel as soon as safe.  - For a missed check-in, the travel owner calls and messages at 15 minutes, contacts the driver and hotel at 30 minutes, and alerts Kim Ode at 60 minutes.  - For medical concerns, contact the assistance provider and approved clinic; call emergency services first for life-threatening symptoms.  - For device loss or suspected compromise, disconnect the device, notify the security operations contact immediately, and begin remote lock and credential revocation.  - Kim Ode owns security relocation recommendations; Sam Patel owns business continuity and family notification; HR supports welfare and records.  06 Check-In Schedule  *Twice-daily check-ins provide a reliable welfare signal without requiring continuous surveillance.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Check in before the first movement and after returning to the hotel each day through the approved Teams channel.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Include status, next destination, driver or vehicle reference, expected arrival, and any change in risk.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SMS or voice to the travel owner if Teams fails, then contact security through the offline number.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Never mark the traveler safe based only on device location; require direct voice or message confirmation.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Log exceptions and close each escalation explicitly so unresolved alerts do not carry into the next movement.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06  Emergency &amp; Medical Protocols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Rapid stabilization and organized communication take priority over insurer or management reporting.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Call 112 for serious injury, chest pain, breathing difficulty, collapse, major bleeding, or immediate threat.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the security provider a precise location pin, landmark, callback number, and short situation report.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diabetes details and metformin in original packaging; maintain food, hydration, and dosing routines during delays.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Evercare or another approved receiving hospital with the assistance provider before travel; let emergency clinicians choose in a crisis.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medical details private and share only what responders, the assistance provider, or authorized duty-of-care staff need.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07  Device &amp; Data Security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traveler should carry the minimum data necessary and assume devices may be lost, inspected, or observed.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a company-managed travel laptop with BitLocker, current patches, MDM, endpoint protection, and an approved VPN.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Move confidential contract data to controlled remote access where possible and remove unrelated client files before departure.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a privacy screen, disable automatic Wi-Fi and Bluetooth discovery, and never use unknown charging cables or public USB ports.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the laptop and phone in hand luggage and out of sight during road movement; do not leave either in a meeting room or vehicle.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After loss or inspection outside policy, report immediately, isolate accounts, rotate credentials, preserve facts, and follow the incident-response playbook.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08  Business Continuity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trip must be able to pause or move online without a single traveler, device, or meeting becoming a critical dependency.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Assign a home-office deputy with access to current documents, decisions, and client contacts.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Store essential work in approved shared systems with least-privilege access rather than only on the travel laptop.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Prepare remote-meeting links and an alternate time window for every critical appointment.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Define which decisions the traveler may make offline and which require home-office approval.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If travel is disrupted, prioritize traveler welfare, notify clients with minimal security detail, and transfer work to the deputy.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09  Financial &amp; Document Continuity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Independent payment and document recovery prevent a single loss from stopping movement or care.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two corporate or personal payment methods separately and a modest local-currency reserve approved by policy.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Store encrypted copies of passport, visa, insurance, itinerary, invitation, and emergency contacts offline and with the travel owner.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who can approve emergency hotel nights, replacement transport, medical deposits, or evacuation costs after hours.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bank-affiliated ATMs in controlled locations and avoid displaying cash or cards.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After theft, move to safety, freeze cards and devices, obtain reports when appropriate, and notify finance and security.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10  Evacuation, Relocation &amp; Shelter Triggers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Pre-agreed thresholds keep commercial pressure from delaying a safety decision.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Shelter at the approved hotel when movement routes are temporarily unsafe and the building remains secure and supplied.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Relocate to the alternate approved hotel when access control, utilities, nearby unrest, or medical support falls below the agreed minimum.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Suspend meetings after a credible threat, route interdiction, official curfew, loss of vetted transport, or sustained communications failure.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Begin departure planning when official advice worsens, the provider recommends evacuation, medical needs exceed local capability, or commercial flights may close.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Kim Ode records the recommendation, Sam Patel authorizes business impacts, and the assistance provider coordinates transport; emergency action does not wait for paperwork.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11  Incident Reporting &amp; Post-Trip Review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Accurate, minimal reporting supports care, legal obligations, and improvement without spreading sensitive data.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Record time, location, people involved, actions, provider references, and current status as soon as safe.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the company incident channel, not personal email or public messaging, for confidential details.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Preserve original evidence without confronting subjects or taking unsafe photographs.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Complete welfare, medical, security, privacy, and insurance reports required by the event.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Hold a post-trip review within five working days and assign owners and deadlines for corrective actions.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12  Departure &amp; Recovery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Departure planning begins before the final meeting and remains flexible to operational conditions.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Reconfirm flight, terminal, route, driver, and airport timing the day before departure.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Move nonessential meetings online if they threaten the protected airport transfer window.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Check in before hotel departure, at airport arrival, after security, and on arrival home.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Report delayed health symptoms and disclose recent Nigeria travel to clinicians when relevant.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Return travel devices for security review before reconnecting them to sensitive company systems if policy requires.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Pre-departure Checklist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Documents &amp; Essentials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Verify passport, visa, invitation, and Nigeria entry requirements.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insurance and assistance coverage, membership number, and evacuation benefits.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Validate Sam Patel, Kim Ode, HR, security provider, insurer, hotel, driver dispatch, embassy, and hospital contacts.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Split payment methods, local cash, and document copies.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Health &amp; Safety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Pack diabetes medication and medical summary in cabin baggage.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Save approved routes, alternate hotel, airport, and hospital offline.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Travel Readiness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Approve the trip risk assessment and record traveler briefing and consent.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Book approved hotel and vetted airport and daily transport.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Test twice-daily Teams check-ins and SMS/voice fallback.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Brief the 15-, 30-, and 60-minute missed-check-in escalation.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Prepare the managed travel laptop, VPN, MDM, encryption, privacy screen, and remote-lock process.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Remove unnecessary confidential data and confirm the home-office deputy can access required work.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remote-meeting fallbacks and client communication language.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Review relocation, suspension, and departure triggers with decision owners.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Check security, weather, and transport alerts 48 hours before departure.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Schedule the post-trip welfare and security review.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ECE1D1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3261C"/>
                <w:sz w:val="26"/>
                <w:szCs w:val="26"/>
              </w:rPr>
              <w:t xml:space="preserve">◇   Be informed. Be prepared. Travel with confidence.</w:t>
            </w:r>
          </w:p>
        </w:tc>
      </w:tr>
    </w:tbl>
    <w:p>
      <w:pPr>
        <w:spacing w:before="240"/>
      </w:pPr>
      <w:r>
        <w:rPr>
          <w:rFonts w:ascii="Arial" w:cs="Arial" w:eastAsia="Arial" w:hAnsi="Arial"/>
          <w:color w:val="474B36"/>
          <w:sz w:val="14"/>
          <w:szCs w:val="14"/>
        </w:rPr>
        <w:t xml:space="preserve">This sample complements official advisories and insurance. Verify critical details before travel.</w:t>
      </w:r>
    </w:p>
    <w:p>
      <w:pPr>
        <w:pageBreakBefore/>
        <w:spacing w:after="80"/>
        <w:jc w:val="center"/>
      </w:pPr>
      <w:r>
        <w:rPr>
          <w:rFonts w:ascii="Arial"/>
          <w:sz w:val="14"/>
          <w:color w:val="23261C"/>
          <w:b/>
        </w:rPr>
        <w:t>PRINT THIS PAGE · CUT AROUND THE OUTER LINE · FOLD AT CENTER</w:t>
      </w:r>
    </w:p>
    <w:tbl>
      <w:tblPr>
        <w:tblW w:w="9360" w:type="dxa"/>
        <w:tblBorders>
          <w:top w:val="single" w:sz="10" w:color="23261C"/>
          <w:left w:val="single" w:sz="10" w:color="23261C"/>
          <w:bottom w:val="single" w:sz="10" w:color="23261C"/>
          <w:right w:val="single" w:sz="10" w:color="23261C"/>
          <w:insideV w:val="dashed" w:sz="5" w:color="23261C"/>
        </w:tblBorders>
      </w:tblPr>
      <w:tblGrid>
        <w:gridCol w:w="4680"/>
        <w:gridCol w:w="4680"/>
      </w:tblGrid>
      <w:tr>
        <w:tc>
          <w:tcPr>
            <w:tcW w:w="468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80"/>
            </w:pPr>
            <w:r>
              <w:rPr>
                <w:rFonts w:ascii="Arial"/>
                <w:sz w:val="14"/>
                <w:color w:val="FF6A1F"/>
                <w:b/>
              </w:rPr>
              <w:t>SERLOCK TRAVEL · QUICK REFERENCE</w:t>
            </w:r>
          </w:p>
          <w:p>
            <w:pPr>
              <w:spacing w:after="80"/>
            </w:pPr>
            <w:r>
              <w:rPr>
                <w:rFonts w:ascii="Arial"/>
                <w:sz w:val="42"/>
                <w:color w:val="23261C"/>
                <w:b/>
              </w:rPr>
              <w:t>Lagos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September 14–20 · Fictional sample · Business team</w:t>
            </w:r>
          </w:p>
          <w:p>
            <w:pPr>
              <w:spacing w:after="80"/>
            </w:pPr>
            <w:r>
              <w:rPr>
                <w:rFonts w:ascii="Arial"/>
                <w:sz w:val="20"/>
                <w:color w:val="23261C"/>
                <w:b/>
              </w:rPr>
              <w:t>EMERGENCY &amp; SUPPORT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Emergency services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112 · verify locally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Corporate travel desk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Fictional · +1 312 555 0400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U.S. Consulate Lagos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Verify current official number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Hospital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Evercare Hospital · +234 1 700 0000</w:t>
            </w:r>
          </w:p>
          <w:p>
            <w:pPr>
              <w:spacing w:after="80"/>
            </w:pPr>
            <w:r>
              <w:rPr>
                <w:rFonts w:ascii="Arial"/>
                <w:sz w:val="13"/>
                <w:color w:val="FF6A1F"/>
              </w:rPr>
              <w:t>All details are fictional examples. Verify every number and route before travel.</w:t>
            </w:r>
          </w:p>
        </w:tc>
        <w:tc>
          <w:tcPr>
            <w:tcW w:w="468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80"/>
            </w:pPr>
            <w:r>
              <w:rPr>
                <w:rFonts w:ascii="Arial"/>
                <w:sz w:val="14"/>
                <w:color w:val="FF6A1F"/>
                <w:b/>
              </w:rPr>
              <w:t>TRIP DETAILS · CARRY OFFLINE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TRAVELERS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Meridian project team · fictional travelers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ACCOMMODATION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Victoria Island hotel · fictional booking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PERSONAL CONTACT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Write in: 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INSURANCE / ASSISTANCE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Provider: 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Policy: _________________________________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Phone: _________________________________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FF6A1F"/>
                <w:b/>
              </w:rPr>
              <w:t>BEFORE CARRYING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Verify all phone numbers, addresses, coverage details and routes. This card complements official advisories and insurance.</w:t>
            </w:r>
          </w:p>
        </w:tc>
      </w:tr>
    </w:tbl>
    <w:sectPr>
      <w:headerReference w:type="default" r:id="rId7"/>
      <w:footerReference w:type="default" r:id="rId8"/>
      <w:type w:val="nextPage"/>
      <w:pgSz w:w="12240" w:h="15840" w:orient="portrait"/>
      <w:pgMar w:top="1050" w:right="1440" w:bottom="10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4B5" w:sz="2"/>
      </w:pBdr>
      <w:tabs>
        <w:tab w:val="right" w:pos="9360"/>
      </w:tabs>
    </w:pPr>
    <w:r>
      <w:rPr>
        <w:rFonts w:ascii="Arial" w:cs="Arial" w:eastAsia="Arial" w:hAnsi="Arial"/>
        <w:color w:val="474B36"/>
        <w:sz w:val="14"/>
        <w:szCs w:val="14"/>
      </w:rPr>
      <w:t xml:space="preserve">LAGOS</w:t>
    </w:r>
    <w:r>
      <w:rPr>
        <w:rFonts w:ascii="Arial" w:cs="Arial" w:eastAsia="Arial" w:hAnsi="Arial"/>
        <w:color w:val="474B36"/>
        <w:sz w:val="14"/>
        <w:szCs w:val="14"/>
      </w:rPr>
      <w:t xml:space="preserve">	A SAFER JOURNEY  ·  A BRIGHTER TOMORROW  ·  </w:t>
    </w:r>
    <w:r>
      <w:rPr>
        <w:rFonts w:ascii="Arial" w:cs="Arial" w:eastAsia="Arial" w:hAnsi="Arial"/>
        <w:color w:val="474B3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none"/>
        <w:left w:val="none"/>
        <w:bottom w:val="single" w:color="C8C4B5" w:sz="2"/>
        <w:right w:val="none"/>
        <w:insideH w:val="none"/>
        <w:insideV w:val="none"/>
      </w:tblBorders>
    </w:tblPr>
    <w:tblGrid>
      <w:gridCol w:w="4680"/>
      <w:gridCol w:w="4680"/>
    </w:tblGrid>
    <w:tr>
      <w:tc>
        <w:tcPr>
          <w:tcW w:type="dxa" w:w="4680"/>
        </w:tcPr>
        <w:p>
          <w:r>
            <w:rPr>
              <w:rFonts w:ascii="Arial" w:cs="Arial" w:eastAsia="Arial" w:hAnsi="Arial"/>
              <w:b/>
              <w:bCs/>
              <w:color w:val="474B36"/>
              <w:sz w:val="14"/>
              <w:szCs w:val="14"/>
            </w:rPr>
            <w:t xml:space="preserve">LAGOS</w:t>
          </w:r>
        </w:p>
      </w:tc>
      <w:tc>
        <w:tcPr>
          <w:tcW w:type="dxa" w:w="4680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474B36"/>
              <w:sz w:val="14"/>
              <w:szCs w:val="14"/>
            </w:rPr>
            <w:t xml:space="preserve">STAY SAFE ABROAD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23261C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0597f37530361f4fafa0c132d235ebb56b55567.jpg"/><Relationship Id="rId10" Type="http://schemas.openxmlformats.org/officeDocument/2006/relationships/image" Target="media/6b6b960176f5963f651774325f17a085721a1d08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2026-09-23T20:05:52.838Z</dcterms:created>
  <dcterms:modified xsi:type="dcterms:W3CDTF">2026-09-23T20:05:52.838Z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